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Predloga za poročilo o spremljanju trajnostnega javnega naročanja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[Ime občine]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Poročevalsko obdobje:</w:t>
      </w:r>
    </w:p>
    <w:p w:rsidR="00000000" w:rsidDel="00000000" w:rsidP="00000000" w:rsidRDefault="00000000" w:rsidRPr="00000000" w14:paraId="00000004">
      <w:pPr>
        <w:spacing w:after="120" w:before="120" w:lineRule="auto"/>
        <w:rPr/>
      </w:pPr>
      <w:r w:rsidDel="00000000" w:rsidR="00000000" w:rsidRPr="00000000">
        <w:rPr>
          <w:i w:val="1"/>
          <w:rtl w:val="0"/>
        </w:rPr>
        <w:t xml:space="preserve">[npr. januar-junij 2025 ali celotno leto 2025]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Pripravil/i:</w:t>
      </w:r>
    </w:p>
    <w:p w:rsidR="00000000" w:rsidDel="00000000" w:rsidP="00000000" w:rsidRDefault="00000000" w:rsidRPr="00000000" w14:paraId="00000006">
      <w:pPr>
        <w:spacing w:after="120" w:before="120" w:lineRule="auto"/>
        <w:rPr/>
      </w:pPr>
      <w:r w:rsidDel="00000000" w:rsidR="00000000" w:rsidRPr="00000000">
        <w:rPr>
          <w:i w:val="1"/>
          <w:rtl w:val="0"/>
        </w:rPr>
        <w:t xml:space="preserve">[Ime / Oddelek]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Datum:</w:t>
      </w:r>
    </w:p>
    <w:p w:rsidR="00000000" w:rsidDel="00000000" w:rsidP="00000000" w:rsidRDefault="00000000" w:rsidRPr="00000000" w14:paraId="00000008">
      <w:pPr>
        <w:spacing w:after="120" w:before="120" w:lineRule="auto"/>
        <w:rPr/>
      </w:pPr>
      <w:r w:rsidDel="00000000" w:rsidR="00000000" w:rsidRPr="00000000">
        <w:rPr>
          <w:i w:val="1"/>
          <w:rtl w:val="0"/>
        </w:rPr>
        <w:t xml:space="preserve">[DD/MM/LLLL]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Povzetek napredka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Splošni napredek:</w:t>
      </w:r>
      <w:r w:rsidDel="00000000" w:rsidR="00000000" w:rsidRPr="00000000">
        <w:rPr>
          <w:rtl w:val="0"/>
        </w:rPr>
        <w:br w:type="textWrapping"/>
        <w:t xml:space="preserve">☐ Po načrtu  ☐ Deloma po načrtu  ☐ Zamuja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Ključna posodobitev: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[Kratek povzetek - npr.: "Uporaba izdelkov z znakom za okolje se je znatno povečala. Podatki o dobaviteljih so še vedno nepopolni."]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Ključni kazalniki uspešnosti (KPI)</w:t>
      </w:r>
    </w:p>
    <w:p w:rsidR="00000000" w:rsidDel="00000000" w:rsidP="00000000" w:rsidRDefault="00000000" w:rsidRPr="00000000" w14:paraId="0000000D">
      <w:pPr>
        <w:spacing w:after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Naslednja preglednica vsebuje primere ključnih kazalnikov uspešnosti, trenutno vrednost, cilj, stanje in komentarje. Spodnjo preglednico dopolnite tako, da dodate izbrane ključne kazalnike uspešnosti in povezane podatke o spremljanju.</w:t>
      </w:r>
    </w:p>
    <w:tbl>
      <w:tblPr>
        <w:tblStyle w:val="Table1"/>
        <w:tblW w:w="9555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115"/>
        <w:gridCol w:w="1185"/>
        <w:gridCol w:w="1230"/>
        <w:gridCol w:w="1410"/>
        <w:gridCol w:w="1725"/>
        <w:gridCol w:w="1890"/>
        <w:tblGridChange w:id="0">
          <w:tblGrid>
            <w:gridCol w:w="2115"/>
            <w:gridCol w:w="1185"/>
            <w:gridCol w:w="1230"/>
            <w:gridCol w:w="1410"/>
            <w:gridCol w:w="1725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Kazalnik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Vir podatkov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Trenutna vrednost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Cilj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Napredek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Opomba</w:t>
            </w:r>
          </w:p>
        </w:tc>
      </w:tr>
      <w:tr>
        <w:trPr>
          <w:cantSplit w:val="0"/>
          <w:trHeight w:val="659.94140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 pisarniškega papirja z znakom za okolje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Podatki o naročilih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75 %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100 % do 2030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▲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Po načrtu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Podpis nove pogodbe z dobaviteljem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Skupna poraba energije v občinskih stavbah (kWh/leto)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Upravljane  objektov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120.000 kWh/a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-10.000 kWh do 2028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▲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Po načrtu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Osebje ga je dobro sprejelo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 naročil, oddanih regionalnim ponudnikom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Podatki o naročilih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48 %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60 % by 2030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▼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Potrebuje dejavnost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Lokalna razpoložljivost je omejena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 čistilnih sredstev z znakom za nestrupeno okolje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Vzorčenje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90 %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100 % do 2028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▲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Po načrtu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Pregledi na kraju samem potrjujejo skladnost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% dobaviteljev, ki izpolnjujejo standarde družbene odgovornosti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Podatki o naročilih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40 %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60 % do 2030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Se razvija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Načrtovana delavnica o sodelovanju z dobavitelji</w:t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Ključna vprašanja in ukrepi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Glavni izziv: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[Npr. „Potreba po boljšem poročanju dobaviteljev o socialnih merilih.“]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Naslednji korak / predlog: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[Npr.: "Uvedite preprost vprašalnik za dobavitelje.]</w:t>
      </w:r>
    </w:p>
    <w:p w:rsidR="00000000" w:rsidDel="00000000" w:rsidP="00000000" w:rsidRDefault="00000000" w:rsidRPr="00000000" w14:paraId="00000045">
      <w:pPr>
        <w:spacing w:after="12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Pregled in naslednji koraki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Pregledano s sodelavci:</w:t>
      </w:r>
      <w:r w:rsidDel="00000000" w:rsidR="00000000" w:rsidRPr="00000000">
        <w:rPr>
          <w:rtl w:val="0"/>
        </w:rPr>
        <w:t xml:space="preserve"> ☐ Da ☐ Ne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Predstavlejno vodstvu:</w:t>
      </w:r>
      <w:r w:rsidDel="00000000" w:rsidR="00000000" w:rsidRPr="00000000">
        <w:rPr>
          <w:rtl w:val="0"/>
        </w:rPr>
        <w:t xml:space="preserve"> ☐ Da ☐ Ne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Načrtovano nadaljnje ukrepanje: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[Npr.: „Do četrtega četrtletja posodobite smernice za javna naročila.“]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Stran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</w:t>
    </w:r>
    <w:r w:rsidDel="00000000" w:rsidR="00000000" w:rsidRPr="00000000">
      <w:rPr>
        <w:rtl w:val="0"/>
      </w:rPr>
      <w:t xml:space="preserve">d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CC2E3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CC2E3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CC2E3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CC2E3B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CC2E3B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CC2E3B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CC2E3B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CC2E3B"/>
    <w:rPr>
      <w:rFonts w:cstheme="majorBidi" w:eastAsiaTheme="majorEastAsia"/>
      <w:color w:val="2e74b5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CC2E3B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CC2E3B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CC2E3B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CC2E3B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CC2E3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C2E3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CC2E3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CC2E3B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CC2E3B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CC2E3B"/>
    <w:rPr>
      <w:i w:val="1"/>
      <w:iCs w:val="1"/>
      <w:color w:val="2e74b5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CC2E3B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C2E3B"/>
    <w:rPr>
      <w:i w:val="1"/>
      <w:iCs w:val="1"/>
      <w:color w:val="2e74b5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CC2E3B"/>
    <w:rPr>
      <w:b w:val="1"/>
      <w:bCs w:val="1"/>
      <w:smallCaps w:val="1"/>
      <w:color w:val="2e74b5" w:themeColor="accent1" w:themeShade="0000BF"/>
      <w:spacing w:val="5"/>
    </w:rPr>
  </w:style>
  <w:style w:type="table" w:styleId="Tabellenraster">
    <w:name w:val="Table Grid"/>
    <w:basedOn w:val="NormaleTabelle"/>
    <w:uiPriority w:val="39"/>
    <w:rsid w:val="00CC2E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itternetztabelle4Akzent1">
    <w:name w:val="Grid Table 4 Accent 1"/>
    <w:basedOn w:val="NormaleTabelle"/>
    <w:uiPriority w:val="49"/>
    <w:rsid w:val="008C12D5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paragraph" w:styleId="Kopfzeile">
    <w:name w:val="header"/>
    <w:basedOn w:val="Standard"/>
    <w:link w:val="KopfzeileZchn"/>
    <w:uiPriority w:val="99"/>
    <w:unhideWhenUsed w:val="1"/>
    <w:rsid w:val="008C12D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C12D5"/>
  </w:style>
  <w:style w:type="paragraph" w:styleId="Fuzeile">
    <w:name w:val="footer"/>
    <w:basedOn w:val="Standard"/>
    <w:link w:val="FuzeileZchn"/>
    <w:uiPriority w:val="99"/>
    <w:unhideWhenUsed w:val="1"/>
    <w:rsid w:val="008C12D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C12D5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ak5luZH0eQP2faRRSg2rRqR6g==">CgMxLjA4AHIhMUh5aDhPYUctZDNQaFpSVDMtVjlVMEdGSzJvdGQ2Ulo1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2025-06-22T22:41:00Z</dcterms:created>
  <dc:creator>Angelika Tisch</dc:creator>
</cp:coreProperties>
</file>